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300552D9" w:rsidR="00AF1799" w:rsidRPr="00B45A57" w:rsidRDefault="000461C1" w:rsidP="00B45A57">
      <w:pPr>
        <w:rPr>
          <w:sz w:val="22"/>
        </w:rPr>
      </w:pPr>
      <w:r>
        <w:rPr>
          <w:rFonts w:ascii="45 Univers Light" w:hAnsi="45 Univers Light" w:cs="Arial"/>
          <w:b/>
          <w:sz w:val="20"/>
        </w:rPr>
        <w:pict w14:anchorId="3B61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790.5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providing assistance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all of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all of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amount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period of time.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any and all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4B11B60C" w14:textId="52BB88D0" w:rsidR="00105F85" w:rsidRPr="00105F85"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105F85">
        <w:rPr>
          <w:rFonts w:ascii="Calibri" w:hAnsi="Calibri" w:cs="Calibri"/>
          <w:sz w:val="20"/>
          <w:u w:val="single"/>
        </w:rPr>
        <w:tab/>
      </w:r>
      <w:r w:rsidR="00105F85">
        <w:rPr>
          <w:rFonts w:ascii="Calibri" w:hAnsi="Calibri" w:cs="Calibri"/>
          <w:sz w:val="20"/>
          <w:u w:val="single"/>
        </w:rPr>
        <w:tab/>
      </w:r>
    </w:p>
    <w:p w14:paraId="7F7C6E99" w14:textId="77777777" w:rsidR="00105F85" w:rsidRDefault="00105F85" w:rsidP="00105F85">
      <w:pPr>
        <w:pStyle w:val="ColorfulList-Accent11"/>
        <w:tabs>
          <w:tab w:val="left" w:pos="0"/>
          <w:tab w:val="left" w:pos="630"/>
          <w:tab w:val="right" w:pos="5310"/>
          <w:tab w:val="left" w:pos="5490"/>
          <w:tab w:val="right" w:pos="10530"/>
        </w:tabs>
        <w:ind w:left="630" w:right="270"/>
        <w:rPr>
          <w:rFonts w:ascii="Calibri" w:hAnsi="Calibri" w:cs="Calibri"/>
          <w:sz w:val="20"/>
        </w:rPr>
      </w:pPr>
    </w:p>
    <w:p w14:paraId="560749AD" w14:textId="47EDFBAC"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r w:rsidR="00105F85">
        <w:rPr>
          <w:rFonts w:ascii="Calibri" w:hAnsi="Calibri" w:cs="Calibri"/>
          <w:sz w:val="20"/>
          <w:u w:val="single"/>
        </w:rPr>
        <w:tab/>
      </w:r>
      <w:r w:rsidR="00105F85">
        <w:rPr>
          <w:rFonts w:ascii="Calibri" w:hAnsi="Calibri" w:cs="Calibri"/>
          <w:sz w:val="20"/>
          <w:u w:val="single"/>
        </w:rPr>
        <w:tab/>
      </w:r>
    </w:p>
    <w:p w14:paraId="10790168" w14:textId="77777777" w:rsidR="00105F85" w:rsidRPr="00105F85" w:rsidRDefault="00105F85" w:rsidP="00B33E4A">
      <w:pPr>
        <w:tabs>
          <w:tab w:val="left" w:pos="270"/>
          <w:tab w:val="left" w:pos="1080"/>
          <w:tab w:val="right" w:pos="3780"/>
          <w:tab w:val="right" w:pos="10530"/>
        </w:tabs>
        <w:ind w:left="270" w:right="270"/>
        <w:rPr>
          <w:rFonts w:ascii="Calibri" w:hAnsi="Calibri" w:cs="Calibri"/>
          <w:b/>
          <w:bCs/>
          <w:i/>
          <w:iCs/>
          <w:sz w:val="18"/>
          <w:szCs w:val="18"/>
        </w:rPr>
      </w:pPr>
      <w:r>
        <w:rPr>
          <w:rFonts w:ascii="Calibri" w:hAnsi="Calibri" w:cs="Calibri"/>
          <w:sz w:val="16"/>
          <w:szCs w:val="16"/>
        </w:rPr>
        <w:tab/>
      </w:r>
      <w:r w:rsidRPr="00105F85">
        <w:rPr>
          <w:rFonts w:ascii="Calibri" w:hAnsi="Calibri" w:cs="Calibri"/>
          <w:b/>
          <w:bCs/>
          <w:i/>
          <w:iCs/>
          <w:sz w:val="18"/>
          <w:szCs w:val="18"/>
        </w:rPr>
        <w:t xml:space="preserve">(Consent to Electronic Delivery: By providing your email you consent to receive insurance notices and documents electronically.  </w:t>
      </w:r>
    </w:p>
    <w:p w14:paraId="0D37A07E" w14:textId="77777777" w:rsidR="00105F85" w:rsidRPr="00105F85" w:rsidRDefault="00105F85" w:rsidP="00B33E4A">
      <w:pPr>
        <w:tabs>
          <w:tab w:val="left" w:pos="270"/>
          <w:tab w:val="left" w:pos="1080"/>
          <w:tab w:val="right" w:pos="3780"/>
          <w:tab w:val="right" w:pos="10530"/>
        </w:tabs>
        <w:spacing w:after="60"/>
        <w:ind w:left="274" w:right="274"/>
        <w:rPr>
          <w:rFonts w:ascii="Calibri" w:hAnsi="Calibri" w:cs="Calibri"/>
          <w:b/>
          <w:bCs/>
          <w:i/>
          <w:iCs/>
          <w:sz w:val="18"/>
          <w:szCs w:val="18"/>
        </w:rPr>
      </w:pPr>
      <w:r w:rsidRPr="00105F85">
        <w:rPr>
          <w:rFonts w:ascii="Calibri" w:hAnsi="Calibri" w:cs="Calibri"/>
          <w:b/>
          <w:bCs/>
          <w:i/>
          <w:iCs/>
          <w:sz w:val="18"/>
          <w:szCs w:val="18"/>
        </w:rPr>
        <w:tab/>
        <w:t>You may withdraw your consent at any time by notifying us in writing or by calling us at 1.800.652.1772.)</w:t>
      </w: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r w:rsidR="00EB1909" w:rsidRPr="00D261FC">
        <w:rPr>
          <w:rFonts w:ascii="Calibri" w:hAnsi="Calibri" w:cs="Calibri"/>
          <w:b/>
          <w:i/>
          <w:sz w:val="18"/>
          <w:szCs w:val="18"/>
        </w:rPr>
        <w:t>whether or not</w:t>
      </w:r>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461C1" w:rsidP="006523BD">
      <w:pPr>
        <w:rPr>
          <w:rFonts w:ascii="Calibri" w:hAnsi="Calibri" w:cs="Calibri"/>
          <w:sz w:val="14"/>
          <w:szCs w:val="14"/>
        </w:rPr>
      </w:pPr>
      <w:r>
        <w:rPr>
          <w:noProof/>
        </w:rPr>
        <w:pict w14:anchorId="0CE726AC">
          <v:group id="Group 128" o:spid="_x0000_s1053" style="position:absolute;margin-left:420.75pt;margin-top:7.25pt;width:44.65pt;height:341.1pt;z-index:-251656192"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1054"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1055"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1050" style="position:absolute;margin-left:190.5pt;margin-top:7.25pt;width:45.8pt;height:341.25pt;z-index:-251659264;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1051"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1052"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1049" style="position:absolute;margin-left:273.75pt;margin-top:7.25pt;width:252pt;height:3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1048" style="position:absolute;margin-left:12.75pt;margin-top:7.25pt;width:243pt;height:3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1047" style="position:absolute;margin-left:274pt;margin-top:7.4pt;width:252pt;height:2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1046" style="position:absolute;margin-left:13pt;margin-top:7.4pt;width:243pt;height:2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461C1"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1037" style="position:absolute;left:0;text-align:left;margin-left:12.85pt;margin-top:-.1pt;width:516.2pt;height:25.7pt;z-index:251652096"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1038"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1039"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1040"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1041"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1042"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1043"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1044"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1045"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461C1"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1036" style="position:absolute;left:0;text-align:left;z-index:-251654144;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461C1"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1035" style="position:absolute;left:0;text-align:left;z-index:-251658240;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461C1"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1034" style="position:absolute;left:0;text-align:left;z-index:-251657216;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Non Public</w:t>
      </w:r>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461C1"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1033" style="position:absolute;left:0;text-align:left;z-index:-251655168;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461C1">
        <w:rPr>
          <w:rFonts w:ascii="Calibri" w:hAnsi="Calibri" w:cs="Calibri"/>
          <w:sz w:val="18"/>
          <w:szCs w:val="18"/>
        </w:rPr>
      </w:r>
      <w:r w:rsidR="000461C1">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461C1">
        <w:rPr>
          <w:rFonts w:ascii="Calibri" w:hAnsi="Calibri" w:cs="Calibri"/>
          <w:sz w:val="20"/>
          <w:lang w:val="x-none" w:eastAsia="x-none"/>
        </w:rPr>
      </w:r>
      <w:r w:rsidR="000461C1">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461C1"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1069" style="position:absolute;left:0;text-align:left;margin-left:409.05pt;margin-top:4.35pt;width:117pt;height:139.7pt;z-index:251663360" coordorigin="8901,5027" coordsize="2340,2794">
            <v:rect id="Rectangle 64" o:spid="_x0000_s1029"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1030"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1031"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1032"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Evergreen  (not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5F7A2DC1"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During the past </w:t>
      </w:r>
      <w:r w:rsidR="009A6A9A">
        <w:rPr>
          <w:rFonts w:ascii="Calibri" w:hAnsi="Calibri" w:cs="Calibri"/>
          <w:w w:val="100"/>
          <w:sz w:val="20"/>
          <w:lang w:val="en-US"/>
        </w:rPr>
        <w:t>three (3) years</w:t>
      </w:r>
      <w:r w:rsidRPr="00D261FC">
        <w:rPr>
          <w:rFonts w:ascii="Calibri" w:hAnsi="Calibri" w:cs="Calibri"/>
          <w:w w:val="100"/>
          <w:sz w:val="20"/>
        </w:rPr>
        <w:t>?</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461C1">
        <w:rPr>
          <w:rFonts w:ascii="Calibri" w:hAnsi="Calibri" w:cs="Calibri"/>
          <w:w w:val="100"/>
          <w:sz w:val="20"/>
        </w:rPr>
      </w:r>
      <w:r w:rsidR="000461C1">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partners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irm carried accountants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461C1">
        <w:rPr>
          <w:rFonts w:ascii="Calibri" w:hAnsi="Calibri" w:cs="Calibri"/>
          <w:sz w:val="20"/>
        </w:rPr>
      </w:r>
      <w:r w:rsidR="000461C1">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bookmarkStart w:id="72" w:name="_Hlk117847860"/>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3"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4"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5"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6"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7"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8"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9"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0"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72"/>
      <w:tr w:rsidR="008C40D2" w:rsidRPr="00D261FC" w14:paraId="18011B6F" w14:textId="77777777" w:rsidTr="008C40D2">
        <w:tc>
          <w:tcPr>
            <w:tcW w:w="1710" w:type="dxa"/>
            <w:tcBorders>
              <w:top w:val="single" w:sz="4" w:space="0" w:color="006B6E"/>
              <w:left w:val="single" w:sz="4" w:space="0" w:color="006B6E"/>
              <w:bottom w:val="single" w:sz="4" w:space="0" w:color="006B6E"/>
              <w:right w:val="single" w:sz="4" w:space="0" w:color="006B6E"/>
            </w:tcBorders>
          </w:tcPr>
          <w:p w14:paraId="713A5169"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5520E72"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8C40D2" w:rsidRPr="00D261FC" w14:paraId="4B1CD9F7" w14:textId="77777777" w:rsidTr="008C40D2">
        <w:tc>
          <w:tcPr>
            <w:tcW w:w="1710" w:type="dxa"/>
            <w:tcBorders>
              <w:top w:val="single" w:sz="4" w:space="0" w:color="006B6E"/>
              <w:left w:val="single" w:sz="4" w:space="0" w:color="006B6E"/>
              <w:bottom w:val="single" w:sz="4" w:space="0" w:color="006B6E"/>
              <w:right w:val="single" w:sz="4" w:space="0" w:color="006B6E"/>
            </w:tcBorders>
          </w:tcPr>
          <w:p w14:paraId="7D863A00"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16C198C"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8C40D2" w:rsidRPr="00D261FC" w14:paraId="3240D984" w14:textId="77777777" w:rsidTr="008C40D2">
        <w:tc>
          <w:tcPr>
            <w:tcW w:w="1710" w:type="dxa"/>
            <w:tcBorders>
              <w:top w:val="single" w:sz="4" w:space="0" w:color="006B6E"/>
              <w:left w:val="single" w:sz="4" w:space="0" w:color="006B6E"/>
              <w:bottom w:val="single" w:sz="4" w:space="0" w:color="006B6E"/>
              <w:right w:val="single" w:sz="4" w:space="0" w:color="006B6E"/>
            </w:tcBorders>
          </w:tcPr>
          <w:p w14:paraId="2CE2A4DC"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DDB5462"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8C40D2" w:rsidRPr="00D261FC" w14:paraId="1680AA4B" w14:textId="77777777" w:rsidTr="008C40D2">
        <w:tc>
          <w:tcPr>
            <w:tcW w:w="1710" w:type="dxa"/>
            <w:tcBorders>
              <w:top w:val="single" w:sz="4" w:space="0" w:color="006B6E"/>
              <w:left w:val="single" w:sz="4" w:space="0" w:color="006B6E"/>
              <w:bottom w:val="single" w:sz="4" w:space="0" w:color="006B6E"/>
              <w:right w:val="single" w:sz="4" w:space="0" w:color="006B6E"/>
            </w:tcBorders>
          </w:tcPr>
          <w:p w14:paraId="7CE57358"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986E15F"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8C40D2" w:rsidRPr="00D261FC" w14:paraId="47A1FD3E" w14:textId="77777777" w:rsidTr="008C40D2">
        <w:tc>
          <w:tcPr>
            <w:tcW w:w="1710" w:type="dxa"/>
            <w:tcBorders>
              <w:top w:val="single" w:sz="4" w:space="0" w:color="006B6E"/>
              <w:left w:val="single" w:sz="4" w:space="0" w:color="006B6E"/>
              <w:bottom w:val="single" w:sz="4" w:space="0" w:color="006B6E"/>
              <w:right w:val="single" w:sz="4" w:space="0" w:color="006B6E"/>
            </w:tcBorders>
          </w:tcPr>
          <w:p w14:paraId="6111BC3C"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06F4475" w14:textId="77777777" w:rsidR="008C40D2" w:rsidRPr="00D261FC" w:rsidRDefault="008C40D2" w:rsidP="0040345A">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bl>
    <w:p w14:paraId="6C2EA88F" w14:textId="77777777" w:rsidR="006B51BB" w:rsidRPr="00B33E4A" w:rsidRDefault="006B51BB"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8C5299A" w14:textId="0F0E8327" w:rsidR="00BE6F64" w:rsidRPr="00BE6F64" w:rsidRDefault="00BE6F64"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30DDC0A7" w14:textId="77777777" w:rsidR="00D45E76" w:rsidRPr="00DB02E4" w:rsidRDefault="00D45E76" w:rsidP="00D45E76">
      <w:pPr>
        <w:pStyle w:val="BodyText2"/>
        <w:tabs>
          <w:tab w:val="left" w:pos="270"/>
          <w:tab w:val="left" w:pos="450"/>
          <w:tab w:val="left" w:pos="3870"/>
          <w:tab w:val="left" w:pos="4410"/>
          <w:tab w:val="right" w:pos="5760"/>
          <w:tab w:val="left" w:pos="6570"/>
          <w:tab w:val="left" w:pos="7560"/>
          <w:tab w:val="left" w:pos="8640"/>
          <w:tab w:val="left" w:pos="9450"/>
          <w:tab w:val="right" w:pos="10080"/>
        </w:tabs>
        <w:spacing w:after="80"/>
        <w:ind w:left="274" w:right="274"/>
        <w:jc w:val="center"/>
        <w:rPr>
          <w:rFonts w:ascii="Calibri" w:hAnsi="Calibri" w:cs="Calibri"/>
          <w:b/>
          <w:bCs/>
          <w:w w:val="100"/>
          <w:sz w:val="19"/>
          <w:szCs w:val="19"/>
        </w:rPr>
      </w:pPr>
      <w:r w:rsidRPr="00DB02E4">
        <w:rPr>
          <w:rFonts w:ascii="Calibri" w:hAnsi="Calibri" w:cs="Calibri"/>
          <w:b/>
          <w:bCs/>
          <w:w w:val="100"/>
          <w:sz w:val="19"/>
          <w:szCs w:val="19"/>
        </w:rPr>
        <w:t>FRAUD WARNINGS – Residents of</w:t>
      </w:r>
      <w:r>
        <w:rPr>
          <w:rFonts w:ascii="Calibri" w:hAnsi="Calibri" w:cs="Calibri"/>
          <w:b/>
          <w:bCs/>
          <w:w w:val="100"/>
          <w:sz w:val="19"/>
          <w:szCs w:val="19"/>
          <w:lang w:val="en-US"/>
        </w:rPr>
        <w:t xml:space="preserve"> </w:t>
      </w:r>
      <w:r w:rsidRPr="00DB02E4">
        <w:rPr>
          <w:rFonts w:ascii="Calibri" w:hAnsi="Calibri" w:cs="Calibri"/>
          <w:b/>
          <w:bCs/>
          <w:w w:val="100"/>
          <w:sz w:val="19"/>
          <w:szCs w:val="19"/>
        </w:rPr>
        <w:t>Kansas</w:t>
      </w:r>
    </w:p>
    <w:p w14:paraId="4634A0E2" w14:textId="77777777" w:rsidR="00D45E76" w:rsidRDefault="00D45E76" w:rsidP="00D45E76">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DB02E4">
        <w:rPr>
          <w:rFonts w:ascii="Calibri" w:hAnsi="Calibri" w:cs="Calibri"/>
          <w:w w:val="100"/>
          <w:sz w:val="20"/>
        </w:rPr>
        <w:t xml:space="preserve">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w:t>
      </w:r>
      <w:r w:rsidRPr="00DB02E4">
        <w:rPr>
          <w:rFonts w:ascii="Calibri" w:hAnsi="Calibri" w:cs="Calibri"/>
          <w:w w:val="100"/>
          <w:sz w:val="20"/>
        </w:rPr>
        <w:lastRenderedPageBreak/>
        <w:t>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14:paraId="1B99B8EE" w14:textId="2C7D0AF8" w:rsidR="006F4EF9" w:rsidRDefault="006F4EF9" w:rsidP="00BE6F64">
      <w:pPr>
        <w:pStyle w:val="BodyText2"/>
        <w:tabs>
          <w:tab w:val="left" w:pos="270"/>
          <w:tab w:val="left" w:pos="450"/>
          <w:tab w:val="right" w:pos="10530"/>
        </w:tabs>
        <w:ind w:left="270"/>
        <w:rPr>
          <w:rFonts w:ascii="Calibri" w:hAnsi="Calibri" w:cs="Calibri"/>
          <w:w w:val="100"/>
          <w:sz w:val="16"/>
        </w:rPr>
      </w:pPr>
    </w:p>
    <w:p w14:paraId="541A8A0F" w14:textId="77777777" w:rsidR="008C40D2" w:rsidRPr="00BC2DAA" w:rsidRDefault="008C40D2"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5741CE" w14:textId="77777777" w:rsidR="002D3C54" w:rsidRDefault="000461C1" w:rsidP="004D7D52">
      <w:pPr>
        <w:pStyle w:val="BodyText2"/>
        <w:tabs>
          <w:tab w:val="left" w:pos="270"/>
          <w:tab w:val="right" w:pos="10530"/>
        </w:tabs>
        <w:spacing w:after="120"/>
        <w:ind w:left="274"/>
        <w:rPr>
          <w:rFonts w:ascii="Calibri" w:hAnsi="Calibri" w:cs="Calibri"/>
          <w:w w:val="100"/>
          <w:sz w:val="20"/>
          <w:u w:val="single"/>
          <w:lang w:val="en-US"/>
        </w:rPr>
      </w:pPr>
      <w:r>
        <w:rPr>
          <w:noProof/>
        </w:rPr>
        <w:pict w14:anchorId="7D72D6C9">
          <v:shape id="Text Box 98" o:spid="_x0000_s1026" type="#_x0000_t202" style="position:absolute;left:0;text-align:left;margin-left:1.5pt;margin-top:36.25pt;width:542.25pt;height:87.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2521F333"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r w:rsidR="00AF1799"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1B844ABD" w14:textId="77777777"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277B" w14:textId="77777777" w:rsidR="00FA768C" w:rsidRDefault="00FA768C">
      <w:r>
        <w:separator/>
      </w:r>
    </w:p>
    <w:p w14:paraId="25CC3B78" w14:textId="77777777" w:rsidR="00650C2A" w:rsidRDefault="00650C2A"/>
  </w:endnote>
  <w:endnote w:type="continuationSeparator" w:id="0">
    <w:p w14:paraId="61A6E21D" w14:textId="77777777" w:rsidR="00FA768C" w:rsidRDefault="00FA768C">
      <w:r>
        <w:continuationSeparator/>
      </w:r>
    </w:p>
    <w:p w14:paraId="77BF0297" w14:textId="77777777" w:rsidR="00650C2A" w:rsidRDefault="00650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78530CE0"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D45E76">
      <w:rPr>
        <w:rFonts w:ascii="Arial" w:hAnsi="Arial" w:cs="Arial"/>
        <w:sz w:val="16"/>
        <w:szCs w:val="16"/>
        <w:lang w:val="en-US"/>
      </w:rPr>
      <w:t xml:space="preserve">(KS)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D46B" w14:textId="77777777" w:rsidR="00FA768C" w:rsidRDefault="00FA768C">
      <w:r>
        <w:separator/>
      </w:r>
    </w:p>
    <w:p w14:paraId="02B12B70" w14:textId="77777777" w:rsidR="00650C2A" w:rsidRDefault="00650C2A"/>
  </w:footnote>
  <w:footnote w:type="continuationSeparator" w:id="0">
    <w:p w14:paraId="58622969" w14:textId="77777777" w:rsidR="00FA768C" w:rsidRDefault="00FA768C">
      <w:r>
        <w:continuationSeparator/>
      </w:r>
    </w:p>
    <w:p w14:paraId="30D82E3B" w14:textId="77777777" w:rsidR="00650C2A" w:rsidRDefault="00650C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7952570">
    <w:abstractNumId w:val="11"/>
  </w:num>
  <w:num w:numId="2" w16cid:durableId="1048918899">
    <w:abstractNumId w:val="2"/>
  </w:num>
  <w:num w:numId="3" w16cid:durableId="1308704274">
    <w:abstractNumId w:val="7"/>
  </w:num>
  <w:num w:numId="4" w16cid:durableId="410350149">
    <w:abstractNumId w:val="16"/>
  </w:num>
  <w:num w:numId="5" w16cid:durableId="2119450093">
    <w:abstractNumId w:val="14"/>
  </w:num>
  <w:num w:numId="6" w16cid:durableId="318115397">
    <w:abstractNumId w:val="8"/>
  </w:num>
  <w:num w:numId="7" w16cid:durableId="824206637">
    <w:abstractNumId w:val="9"/>
  </w:num>
  <w:num w:numId="8" w16cid:durableId="184443436">
    <w:abstractNumId w:val="1"/>
  </w:num>
  <w:num w:numId="9" w16cid:durableId="402721514">
    <w:abstractNumId w:val="10"/>
  </w:num>
  <w:num w:numId="10" w16cid:durableId="103429059">
    <w:abstractNumId w:val="3"/>
  </w:num>
  <w:num w:numId="11" w16cid:durableId="812214778">
    <w:abstractNumId w:val="6"/>
  </w:num>
  <w:num w:numId="12" w16cid:durableId="1056390241">
    <w:abstractNumId w:val="12"/>
  </w:num>
  <w:num w:numId="13" w16cid:durableId="2020697992">
    <w:abstractNumId w:val="13"/>
  </w:num>
  <w:num w:numId="14" w16cid:durableId="174272488">
    <w:abstractNumId w:val="5"/>
  </w:num>
  <w:num w:numId="15" w16cid:durableId="837968154">
    <w:abstractNumId w:val="4"/>
  </w:num>
  <w:num w:numId="16" w16cid:durableId="1473794752">
    <w:abstractNumId w:val="15"/>
  </w:num>
  <w:num w:numId="17" w16cid:durableId="2229120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gwZAITXRzYu3Mxaqh34/p9ud26zI7tXCl+hjtAHHVgdaENKr3aGkga7f0UGyT+E/qrWlK+AnmxsZnAcvcvuog==" w:salt="T7TqTnMt8prCgLuftSWOdQ=="/>
  <w:defaultTabStop w:val="720"/>
  <w:displayHorizontalDrawingGridEvery w:val="0"/>
  <w:displayVerticalDrawingGridEvery w:val="0"/>
  <w:doNotUseMarginsForDrawingGridOrigin/>
  <w:noPunctuationKerning/>
  <w:characterSpacingControl w:val="doNotCompress"/>
  <w:hdrShapeDefaults>
    <o:shapedefaults v:ext="edit" spidmax="27649">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37E61"/>
    <w:rsid w:val="000457D3"/>
    <w:rsid w:val="00045827"/>
    <w:rsid w:val="000461C1"/>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05F85"/>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4AF6"/>
    <w:rsid w:val="006053AC"/>
    <w:rsid w:val="006122E9"/>
    <w:rsid w:val="006140E2"/>
    <w:rsid w:val="00622095"/>
    <w:rsid w:val="006337E1"/>
    <w:rsid w:val="00634AD6"/>
    <w:rsid w:val="00635B68"/>
    <w:rsid w:val="00640750"/>
    <w:rsid w:val="006413F1"/>
    <w:rsid w:val="00646E81"/>
    <w:rsid w:val="00647F84"/>
    <w:rsid w:val="00650C2A"/>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0E0"/>
    <w:rsid w:val="007014D1"/>
    <w:rsid w:val="007024B1"/>
    <w:rsid w:val="0071023E"/>
    <w:rsid w:val="007170C4"/>
    <w:rsid w:val="0072188B"/>
    <w:rsid w:val="00726758"/>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40D2"/>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A6A9A"/>
    <w:rsid w:val="009B0845"/>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33E4A"/>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1671"/>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5E76"/>
    <w:rsid w:val="00D47A03"/>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3158"/>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0E9"/>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dae9ec,#2f9297,#dbdab4,#3e4020,#cc9,#b7b56b,#696b37,#006b6e"/>
    </o:shapedefaults>
    <o:shapelayout v:ext="edit">
      <o:idmap v:ext="edit" data="1"/>
      <o:rules v:ext="edit">
        <o:r id="V:Rule1" type="connector" idref="#Line 117"/>
        <o:r id="V:Rule2" type="connector" idref="#Line 118"/>
        <o:r id="V:Rule3" type="connector" idref="#Line 122"/>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105F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2022-11-01T18:50:00Z</dcterms:created>
  <dcterms:modified xsi:type="dcterms:W3CDTF">2023-01-27T22:28:00Z</dcterms:modified>
</cp:coreProperties>
</file>